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B60A" w14:textId="77777777" w:rsidR="00DE50F7" w:rsidRDefault="00DE50F7" w:rsidP="00DE50F7">
      <w:pPr>
        <w:ind w:left="0"/>
      </w:pPr>
      <w:r w:rsidRPr="00A12F4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1ACC0F" wp14:editId="541335D0">
                <wp:simplePos x="0" y="0"/>
                <wp:positionH relativeFrom="column">
                  <wp:posOffset>-571500</wp:posOffset>
                </wp:positionH>
                <wp:positionV relativeFrom="paragraph">
                  <wp:posOffset>1083310</wp:posOffset>
                </wp:positionV>
                <wp:extent cx="3886200" cy="5759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5945"/>
                        </a:xfrm>
                        <a:prstGeom prst="rect">
                          <a:avLst/>
                        </a:prstGeom>
                        <a:solidFill>
                          <a:srgbClr val="83171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1D590E" w14:textId="77777777" w:rsidR="00DE50F7" w:rsidRPr="004516D5" w:rsidRDefault="00DE50F7" w:rsidP="00DE50F7">
                            <w:pPr>
                              <w:pStyle w:val="MainHeader"/>
                            </w:pPr>
                            <w:r w:rsidRPr="004516D5">
                              <w:t xml:space="preserve">Underage Drinking Prevention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AC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85.3pt;width:306pt;height:4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FuLwIAAF4EAAAOAAAAZHJzL2Uyb0RvYy54bWysVN9v2jAQfp+0/8Hy+wihpU0RoWJUTJNQ&#10;W4lOfTaOA5Ecn3c2JOyv39kJ0HZ7mvbi+H74fPd9nzO9b2vNDgpdBSbn6WDImTISispsc/7jZfkl&#10;48x5YQqhwaicH5Xj97PPn6aNnagR7EAXChkVMW7S2JzvvLeTJHFyp2rhBmCVoWAJWAtPJm6TAkVD&#10;1WudjIbDm6QBLCyCVM6R96EL8lmsX5ZK+qeydMoznXPqzccV47oJazKbiskWhd1Vsm9D/EMXtagM&#10;XXou9SC8YHus/ihVVxLBQekHEuoEyrKSKs5A06TDD9Osd8KqOAuB4+wZJvf/ysrHw9o+I/PtV2iJ&#10;wABIY93EkTPM05ZYhy91yihOEB7PsKnWM0nOqyy7IS44kxQb347vrsehTHI5bdH5bwpqFjY5R6Il&#10;oiUOK+e71FNKuMyBroplpXU0cLtZaGQHQRRmV+ltOu+rv0vTJiQbCMe6ip1HRRH011wmCzvfbtp+&#10;3A0UR0IBoROIs3JZUasr4fyzQFIETUcq90+0lBqanEO/42wH+Otv/pBPRFGUs4YUlnP3cy9Qcaa/&#10;G6IwzUZZFjQZrevx7YgMfBfavA2Zfb0AwiClF2Vl3IYDXp+2JUL9Ss9hHu6lkDCSbs+59HgyFr7T&#10;Pj0oqebzmEZCtMKvzNrKUDzAGMh4aV8F2p4xT1w/wkmPYvKBuC63I2C+91BWkdUAcocsqSEYJOKo&#10;i/7BhVfy1o5Zl9/C7DcAAAD//wMAUEsDBBQABgAIAAAAIQBy8VfU4AAAAAsBAAAPAAAAZHJzL2Rv&#10;d25yZXYueG1sTI/NTsMwEITvSLyDtUhcUGvXhVBCnAqQoGdKVKk3J3Z+1HgdxW4a3p7lBMedGc1+&#10;k21n17PJjqHzqGC1FMAsVt502Cgovt4XG2AhajS692gVfNsA2/z6KtOp8Rf8tNM+NoxKMKRaQRvj&#10;kHIeqtY6HZZ+sEhe7UenI51jw82oL1Tuei6FSLjTHdKHVg/2rbXVaX92Cu7r4a48hmLqdsVrdVjX&#10;8hBPH0rd3swvz8CineNfGH7xCR1yYir9GU1gvYLFk6AtkYxHkQCjxIOUpJQKZLJaA88z/n9D/gMA&#10;AP//AwBQSwECLQAUAAYACAAAACEAtoM4kv4AAADhAQAAEwAAAAAAAAAAAAAAAAAAAAAAW0NvbnRl&#10;bnRfVHlwZXNdLnhtbFBLAQItABQABgAIAAAAIQA4/SH/1gAAAJQBAAALAAAAAAAAAAAAAAAAAC8B&#10;AABfcmVscy8ucmVsc1BLAQItABQABgAIAAAAIQBRs2FuLwIAAF4EAAAOAAAAAAAAAAAAAAAAAC4C&#10;AABkcnMvZTJvRG9jLnhtbFBLAQItABQABgAIAAAAIQBy8VfU4AAAAAsBAAAPAAAAAAAAAAAAAAAA&#10;AIkEAABkcnMvZG93bnJldi54bWxQSwUGAAAAAAQABADzAAAAlgUAAAAA&#10;" fillcolor="#83171a" stroked="f">
                <v:textbox inset="14.4pt,,14.4pt">
                  <w:txbxContent>
                    <w:p w14:paraId="401D590E" w14:textId="77777777" w:rsidR="00DE50F7" w:rsidRPr="004516D5" w:rsidRDefault="00DE50F7" w:rsidP="00DE50F7">
                      <w:pPr>
                        <w:pStyle w:val="MainHeader"/>
                      </w:pPr>
                      <w:r w:rsidRPr="004516D5">
                        <w:t xml:space="preserve">Underage Drinking Prevention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00448A7" wp14:editId="3F63EB36">
            <wp:extent cx="1346885" cy="882015"/>
            <wp:effectExtent l="0" t="0" r="0" b="0"/>
            <wp:docPr id="10" name="Picture 10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57295" cy="88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7434777" wp14:editId="6B19878E">
            <wp:extent cx="1295400" cy="777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5" cy="77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C53E1" w14:textId="1970D4CE" w:rsidR="00DE50F7" w:rsidRDefault="00DE50F7" w:rsidP="00DE50F7">
      <w:pPr>
        <w:pStyle w:val="ThirdHeader"/>
        <w:spacing w:before="120" w:after="120"/>
        <w:rPr>
          <w:color w:val="auto"/>
        </w:rPr>
      </w:pPr>
      <w:r>
        <w:rPr>
          <w:sz w:val="22"/>
          <w:szCs w:val="22"/>
        </w:rPr>
        <w:br/>
      </w:r>
    </w:p>
    <w:p w14:paraId="547547D0" w14:textId="18A09BA2" w:rsidR="001F06DF" w:rsidRDefault="006E7791" w:rsidP="00170FE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401770" wp14:editId="4C0B8A30">
                <wp:simplePos x="0" y="0"/>
                <wp:positionH relativeFrom="column">
                  <wp:posOffset>-266700</wp:posOffset>
                </wp:positionH>
                <wp:positionV relativeFrom="paragraph">
                  <wp:posOffset>188595</wp:posOffset>
                </wp:positionV>
                <wp:extent cx="65151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D9957" w14:textId="77777777" w:rsidR="00DF53D9" w:rsidRPr="00095788" w:rsidRDefault="00246EEE" w:rsidP="00095788">
                            <w:pPr>
                              <w:pStyle w:val="SecondHeader"/>
                            </w:pPr>
                            <w:r>
                              <w:t>Why you should talk with your child about alcohol</w:t>
                            </w:r>
                            <w:r w:rsidR="00DF53D9" w:rsidRPr="0009578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1770" id="Text Box 3" o:spid="_x0000_s1027" type="#_x0000_t202" style="position:absolute;left:0;text-align:left;margin-left:-21pt;margin-top:14.85pt;width:51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UfcAIAAGcFAAAOAAAAZHJzL2Uyb0RvYy54bWysVEtPGzEQvlfqf7B8bzZJgaYRG5SCUlVC&#10;gAoVZ8drE6tej2tPspv++o69mweUC1UvuzOeb96P84u2tmyjQjTgSj4aDDlTTkJl3FPJfzwsPkw4&#10;iyhcJSw4VfKtivxi9v7deeOnagwrsJUKjIy4OG18yVeIfloUUa5ULeIAvHIk1BBqgcSGp6IKoiHr&#10;tS3Gw+FZ0UCofACpYqTXq07IZ9m+1krirdZRIbMlp9gwf0P+LtO3mJ2L6VMQfmVkH4b4hyhqYRw5&#10;3Zu6EijYOpi/TNVGBoigcSChLkBrI1XOgbIZDV9kc78SXuVcqDjR78sU/59ZebO593eBYfsFWmpg&#10;Kkjj4zTSY8qn1aFOf4qUkZxKuN2XTbXIJD2enY5OR0MSSZJ9PBl/JprMFAdtHyJ+VVCzRJQ8UFty&#10;tcTmOmIH3UGSswjWVAtjbWbSKKhLG9hGUBOxzTGS8Wco6xLWQdLqDHYvKs9A7+WQWKZwa1XSsu67&#10;0sxUOb9XXAoplcOd24xOKE2u3qLY45NqF9VblPca2TM43CvXxkHI1cxLc6hU9XMXsu7w1JKjvBOJ&#10;7bKlxI/6voRqS+MQoNuU6OXCUM+uRcQ7EWg1qM207nhLH22hKTn0FGcrCL9fe094mliSctbQqpU8&#10;/lqLoDiz3xzN8mgynkzScmbu5PTTmJjwTLQ8Frl1fQk0CiM6LV5mMimg3ZE6QP1Id2Ge/JJIOEne&#10;Sy4x7JhL7I4AXRap5vMMo430Aq/dvZfJeKp0msqH9lEE348u0tDfwG4xxfTFBHfYpOlgvkbQJo93&#10;qnVX2b4HtM15QfrLk87FMZ9Rh/s4+wMAAP//AwBQSwMEFAAGAAgAAAAhABcwfPHiAAAACQEAAA8A&#10;AABkcnMvZG93bnJldi54bWxMj8FOwzAQRO9I/IO1SFyq1iENbRKyqaASB3pLQSBubmySiNgOtpuG&#10;fj3LCY6zM5p9U2wm3bNROd9Zg3CziIApU1vZmQbh5flxngLzQRgpemsUwrfysCkvLwqRS3sylRr3&#10;oWFUYnwuENoQhpxzX7dKC7+wgzLkfVinRSDpGi6dOFG57nkcRSuuRWfoQysGtW1V/bk/aoRqfJ8t&#10;q6eHr/NsSm7Pb9vdq8tWiNdX0/0dsKCm8BeGX3xCh5KYDvZopGc9wjyJaUtAiLM1MApkaUKHA0K6&#10;XAMvC/5/QfkDAAD//wMAUEsBAi0AFAAGAAgAAAAhALaDOJL+AAAA4QEAABMAAAAAAAAAAAAAAAAA&#10;AAAAAFtDb250ZW50X1R5cGVzXS54bWxQSwECLQAUAAYACAAAACEAOP0h/9YAAACUAQAACwAAAAAA&#10;AAAAAAAAAAAvAQAAX3JlbHMvLnJlbHNQSwECLQAUAAYACAAAACEAxjcFH3ACAABnBQAADgAAAAAA&#10;AAAAAAAAAAAuAgAAZHJzL2Uyb0RvYy54bWxQSwECLQAUAAYACAAAACEAFzB88eIAAAAJAQAADwAA&#10;AAAAAAAAAAAAAADKBAAAZHJzL2Rvd25yZXYueG1sUEsFBgAAAAAEAAQA8wAAANkFAAAAAA==&#10;" fillcolor="black [3213]" stroked="f">
                <v:textbox inset="14.4pt,,14.4pt">
                  <w:txbxContent>
                    <w:p w14:paraId="33FD9957" w14:textId="77777777" w:rsidR="00DF53D9" w:rsidRPr="00095788" w:rsidRDefault="00246EEE" w:rsidP="00095788">
                      <w:pPr>
                        <w:pStyle w:val="SecondHeader"/>
                      </w:pPr>
                      <w:r>
                        <w:t>Why you should talk with your child about alcohol</w:t>
                      </w:r>
                      <w:r w:rsidR="00DF53D9" w:rsidRPr="0009578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0D247" w14:textId="574B4944" w:rsidR="00076F26" w:rsidRPr="00E349B9" w:rsidRDefault="00076F26" w:rsidP="00F14B5F">
      <w:pPr>
        <w:pStyle w:val="ThirdHeader"/>
        <w:spacing w:before="220" w:after="220"/>
        <w:ind w:left="-180" w:firstLine="180"/>
      </w:pPr>
      <w:r>
        <w:rPr>
          <w:bCs/>
        </w:rPr>
        <w:br/>
        <w:t xml:space="preserve">The Chance That Children Will Use Alcohol Increases as They Get Older. </w:t>
      </w:r>
    </w:p>
    <w:p w14:paraId="619FADDB" w14:textId="77777777" w:rsidR="00076F26" w:rsidRPr="00F14B5F" w:rsidRDefault="00076F26" w:rsidP="00076F26">
      <w:pPr>
        <w:pStyle w:val="ThirdHeader"/>
        <w:spacing w:before="220" w:after="220"/>
        <w:rPr>
          <w:b w:val="0"/>
          <w:color w:val="auto"/>
          <w:szCs w:val="22"/>
        </w:rPr>
      </w:pPr>
      <w:r w:rsidRPr="00F14B5F">
        <w:rPr>
          <w:b w:val="0"/>
          <w:color w:val="auto"/>
          <w:szCs w:val="22"/>
        </w:rPr>
        <w:t xml:space="preserve">About 10 percent of 12-year-olds say </w:t>
      </w:r>
      <w:r w:rsidR="00201BCD">
        <w:rPr>
          <w:b w:val="0"/>
          <w:color w:val="auto"/>
          <w:szCs w:val="22"/>
        </w:rPr>
        <w:t>they have</w:t>
      </w:r>
      <w:r w:rsidR="00201BCD" w:rsidRPr="00F14B5F">
        <w:rPr>
          <w:b w:val="0"/>
          <w:color w:val="auto"/>
          <w:szCs w:val="22"/>
        </w:rPr>
        <w:t xml:space="preserve"> </w:t>
      </w:r>
      <w:r w:rsidRPr="00F14B5F">
        <w:rPr>
          <w:b w:val="0"/>
          <w:color w:val="auto"/>
          <w:szCs w:val="22"/>
        </w:rPr>
        <w:t xml:space="preserve">tried alcohol, but by age 15, that number jumps to 50 percent. </w:t>
      </w:r>
      <w:r w:rsidR="002D79E4">
        <w:rPr>
          <w:b w:val="0"/>
          <w:color w:val="auto"/>
          <w:szCs w:val="22"/>
        </w:rPr>
        <w:t xml:space="preserve"> </w:t>
      </w:r>
      <w:r w:rsidRPr="00F14B5F">
        <w:rPr>
          <w:b w:val="0"/>
          <w:color w:val="auto"/>
          <w:szCs w:val="22"/>
        </w:rPr>
        <w:t>The sooner you talk to your children about alcohol, the greater chance you have of influencing their decisions about drinking.</w:t>
      </w:r>
      <w:r w:rsidRPr="00F14B5F">
        <w:rPr>
          <w:b w:val="0"/>
          <w:color w:val="auto"/>
          <w:szCs w:val="22"/>
          <w:vertAlign w:val="superscript"/>
        </w:rPr>
        <w:t>1</w:t>
      </w:r>
    </w:p>
    <w:p w14:paraId="45DD9003" w14:textId="77777777" w:rsidR="00E349B9" w:rsidRPr="00E349B9" w:rsidRDefault="00E349B9" w:rsidP="00076F26">
      <w:pPr>
        <w:pStyle w:val="ThirdHeader"/>
        <w:spacing w:before="220" w:after="220"/>
      </w:pPr>
      <w:r>
        <w:rPr>
          <w:bCs/>
        </w:rPr>
        <w:br/>
      </w:r>
      <w:r w:rsidR="00076F26">
        <w:rPr>
          <w:bCs/>
        </w:rPr>
        <w:t xml:space="preserve">Parents Play a Critical Role in Children’s Decisions to Experiment </w:t>
      </w:r>
      <w:proofErr w:type="gramStart"/>
      <w:r w:rsidR="00076F26">
        <w:rPr>
          <w:bCs/>
        </w:rPr>
        <w:t>With</w:t>
      </w:r>
      <w:proofErr w:type="gramEnd"/>
      <w:r w:rsidR="00076F26">
        <w:rPr>
          <w:bCs/>
        </w:rPr>
        <w:t xml:space="preserve"> Alcohol. </w:t>
      </w:r>
    </w:p>
    <w:p w14:paraId="5FEA9AAE" w14:textId="77777777" w:rsidR="00076F26" w:rsidRPr="00F14B5F" w:rsidRDefault="00076F26" w:rsidP="00E349B9">
      <w:pPr>
        <w:pStyle w:val="ThirdHeader"/>
        <w:spacing w:before="220" w:after="220"/>
        <w:rPr>
          <w:b w:val="0"/>
          <w:color w:val="auto"/>
          <w:szCs w:val="22"/>
        </w:rPr>
      </w:pPr>
      <w:r w:rsidRPr="00F14B5F">
        <w:rPr>
          <w:b w:val="0"/>
          <w:color w:val="auto"/>
          <w:szCs w:val="22"/>
        </w:rPr>
        <w:t xml:space="preserve">Studies have shown that parents have a significant influence on young people’s decisions about alcohol </w:t>
      </w:r>
      <w:r w:rsidR="00DF53D9" w:rsidRPr="00F14B5F">
        <w:rPr>
          <w:b w:val="0"/>
          <w:color w:val="auto"/>
          <w:szCs w:val="22"/>
        </w:rPr>
        <w:t>consumption,</w:t>
      </w:r>
      <w:r w:rsidR="00DF53D9" w:rsidRPr="00F14B5F">
        <w:rPr>
          <w:b w:val="0"/>
          <w:color w:val="auto"/>
          <w:szCs w:val="22"/>
          <w:vertAlign w:val="superscript"/>
        </w:rPr>
        <w:t>2</w:t>
      </w:r>
      <w:r w:rsidR="00DF53D9" w:rsidRPr="00F14B5F">
        <w:rPr>
          <w:b w:val="0"/>
          <w:color w:val="auto"/>
          <w:szCs w:val="22"/>
        </w:rPr>
        <w:t xml:space="preserve"> especially</w:t>
      </w:r>
      <w:r w:rsidRPr="00F14B5F">
        <w:rPr>
          <w:b w:val="0"/>
          <w:color w:val="auto"/>
          <w:szCs w:val="22"/>
        </w:rPr>
        <w:t xml:space="preserve"> when parents create supportive and nurturing environments in which their children can make their own decisions.</w:t>
      </w:r>
      <w:proofErr w:type="gramStart"/>
      <w:r w:rsidRPr="00F14B5F">
        <w:rPr>
          <w:b w:val="0"/>
          <w:color w:val="auto"/>
          <w:szCs w:val="22"/>
          <w:vertAlign w:val="superscript"/>
        </w:rPr>
        <w:t>3</w:t>
      </w:r>
      <w:r w:rsidRPr="00F14B5F">
        <w:rPr>
          <w:b w:val="0"/>
          <w:color w:val="auto"/>
          <w:szCs w:val="22"/>
        </w:rPr>
        <w:t xml:space="preserve"> </w:t>
      </w:r>
      <w:r w:rsidR="002D79E4">
        <w:rPr>
          <w:b w:val="0"/>
          <w:color w:val="auto"/>
          <w:szCs w:val="22"/>
        </w:rPr>
        <w:t xml:space="preserve"> </w:t>
      </w:r>
      <w:r w:rsidR="003C76F2" w:rsidRPr="008D64DB">
        <w:rPr>
          <w:b w:val="0"/>
          <w:color w:val="auto"/>
          <w:szCs w:val="22"/>
        </w:rPr>
        <w:t>In</w:t>
      </w:r>
      <w:proofErr w:type="gramEnd"/>
      <w:r w:rsidR="003C76F2" w:rsidRPr="008D64DB">
        <w:rPr>
          <w:b w:val="0"/>
          <w:color w:val="auto"/>
          <w:szCs w:val="22"/>
        </w:rPr>
        <w:t xml:space="preserve"> fact, around 80 percent of children feel that parents </w:t>
      </w:r>
      <w:r w:rsidR="003C76F2" w:rsidRPr="008D64DB">
        <w:rPr>
          <w:b w:val="0"/>
          <w:i/>
          <w:color w:val="auto"/>
          <w:szCs w:val="22"/>
        </w:rPr>
        <w:t>should</w:t>
      </w:r>
      <w:r w:rsidR="003C76F2" w:rsidRPr="008D64DB">
        <w:rPr>
          <w:b w:val="0"/>
          <w:color w:val="auto"/>
          <w:szCs w:val="22"/>
        </w:rPr>
        <w:t xml:space="preserve"> have a say in whether they drink alcohol.</w:t>
      </w:r>
      <w:r w:rsidR="003C76F2" w:rsidRPr="008D64DB">
        <w:rPr>
          <w:b w:val="0"/>
          <w:color w:val="auto"/>
          <w:szCs w:val="22"/>
          <w:vertAlign w:val="superscript"/>
        </w:rPr>
        <w:t>4</w:t>
      </w:r>
      <w:r w:rsidR="003C76F2" w:rsidRPr="008D64DB">
        <w:rPr>
          <w:b w:val="0"/>
          <w:color w:val="000000"/>
          <w:vertAlign w:val="superscript"/>
        </w:rPr>
        <w:t>, 5</w:t>
      </w:r>
    </w:p>
    <w:p w14:paraId="463CEC03" w14:textId="77777777" w:rsidR="00782E75" w:rsidRDefault="00E349B9" w:rsidP="00E349B9">
      <w:pPr>
        <w:pStyle w:val="ThirdHeader"/>
        <w:spacing w:before="220" w:after="220"/>
      </w:pPr>
      <w:r>
        <w:br/>
      </w:r>
      <w:r w:rsidR="00076F26">
        <w:t>The Conversation Is Often More Effective Before Children Start Drinking.</w:t>
      </w:r>
    </w:p>
    <w:p w14:paraId="2A371106" w14:textId="77777777" w:rsidR="00076F26" w:rsidRPr="00F14B5F" w:rsidRDefault="00076F26" w:rsidP="00E349B9">
      <w:pPr>
        <w:pStyle w:val="ThirdHeader"/>
        <w:spacing w:before="220" w:after="220"/>
        <w:rPr>
          <w:b w:val="0"/>
          <w:color w:val="auto"/>
        </w:rPr>
      </w:pPr>
      <w:r w:rsidRPr="00F14B5F">
        <w:rPr>
          <w:b w:val="0"/>
          <w:color w:val="auto"/>
        </w:rPr>
        <w:t>If you talk to your kids directly and honestly, they are more likely to respect your rules and advice about alcohol use.</w:t>
      </w:r>
      <w:r w:rsidR="002D79E4">
        <w:rPr>
          <w:b w:val="0"/>
          <w:color w:val="auto"/>
        </w:rPr>
        <w:t xml:space="preserve"> </w:t>
      </w:r>
      <w:r w:rsidRPr="00F14B5F">
        <w:rPr>
          <w:b w:val="0"/>
          <w:color w:val="auto"/>
        </w:rPr>
        <w:t xml:space="preserve"> When parents know about underage alcohol use, they can protect their children from many of the high-risk behaviors associated with it.</w:t>
      </w:r>
    </w:p>
    <w:p w14:paraId="1D94D62B" w14:textId="77777777" w:rsidR="00E349B9" w:rsidRDefault="00E349B9" w:rsidP="00E349B9">
      <w:pPr>
        <w:pStyle w:val="ThirdHeader"/>
        <w:spacing w:before="220" w:after="220"/>
      </w:pPr>
      <w:r>
        <w:br/>
      </w:r>
      <w:r w:rsidR="00076F26">
        <w:t xml:space="preserve">Some Children May Try Alcohol as Early as 9 Years Old. </w:t>
      </w:r>
    </w:p>
    <w:p w14:paraId="71E8F1EE" w14:textId="77777777" w:rsidR="00076F26" w:rsidRPr="00F14B5F" w:rsidRDefault="00076F26" w:rsidP="00E349B9">
      <w:pPr>
        <w:pStyle w:val="ThirdHeader"/>
        <w:spacing w:before="220" w:after="220"/>
        <w:rPr>
          <w:b w:val="0"/>
          <w:color w:val="auto"/>
        </w:rPr>
      </w:pPr>
      <w:r w:rsidRPr="00F14B5F">
        <w:rPr>
          <w:b w:val="0"/>
          <w:color w:val="auto"/>
        </w:rPr>
        <w:t xml:space="preserve">Most 6-year-olds know that alcohol is only for adults. </w:t>
      </w:r>
      <w:r w:rsidR="00201BCD">
        <w:rPr>
          <w:b w:val="0"/>
          <w:color w:val="auto"/>
        </w:rPr>
        <w:t xml:space="preserve"> </w:t>
      </w:r>
      <w:r w:rsidRPr="00F14B5F">
        <w:rPr>
          <w:b w:val="0"/>
          <w:color w:val="auto"/>
        </w:rPr>
        <w:t>Between the ages of 9 and 13, children start to view alcohol more positively.</w:t>
      </w:r>
      <w:r w:rsidR="002D79E4">
        <w:rPr>
          <w:b w:val="0"/>
          <w:color w:val="auto"/>
        </w:rPr>
        <w:t xml:space="preserve"> </w:t>
      </w:r>
      <w:r w:rsidRPr="00F14B5F">
        <w:rPr>
          <w:b w:val="0"/>
          <w:color w:val="auto"/>
        </w:rPr>
        <w:t xml:space="preserve"> Many children begin to think underage drinking is OK.</w:t>
      </w:r>
      <w:r w:rsidR="002D79E4">
        <w:rPr>
          <w:b w:val="0"/>
          <w:color w:val="auto"/>
        </w:rPr>
        <w:t xml:space="preserve"> </w:t>
      </w:r>
      <w:r w:rsidRPr="00F14B5F">
        <w:rPr>
          <w:b w:val="0"/>
          <w:color w:val="auto"/>
        </w:rPr>
        <w:t xml:space="preserve"> Some even start to experiment.</w:t>
      </w:r>
      <w:r w:rsidR="002D79E4">
        <w:rPr>
          <w:b w:val="0"/>
          <w:color w:val="auto"/>
        </w:rPr>
        <w:t xml:space="preserve"> </w:t>
      </w:r>
      <w:r w:rsidRPr="00F14B5F">
        <w:rPr>
          <w:b w:val="0"/>
          <w:color w:val="auto"/>
        </w:rPr>
        <w:t xml:space="preserve"> It is never too early to talk to your children about alcohol.</w:t>
      </w:r>
      <w:r w:rsidR="003C76F2">
        <w:rPr>
          <w:b w:val="0"/>
          <w:color w:val="auto"/>
          <w:vertAlign w:val="superscript"/>
        </w:rPr>
        <w:t>6</w:t>
      </w:r>
    </w:p>
    <w:p w14:paraId="10962E27" w14:textId="77777777" w:rsidR="00E349B9" w:rsidRPr="00E349B9" w:rsidRDefault="00E349B9" w:rsidP="00E349B9">
      <w:pPr>
        <w:pStyle w:val="ThirdHeader"/>
        <w:spacing w:before="220" w:after="220"/>
        <w:rPr>
          <w:b w:val="0"/>
          <w:color w:val="auto"/>
        </w:rPr>
      </w:pPr>
      <w:r>
        <w:rPr>
          <w:b w:val="0"/>
          <w:color w:val="auto"/>
        </w:rPr>
        <w:br/>
      </w:r>
      <w:r w:rsidR="00076F26">
        <w:t xml:space="preserve">If You </w:t>
      </w:r>
      <w:r w:rsidR="002155A3">
        <w:t xml:space="preserve">Do Not </w:t>
      </w:r>
      <w:r w:rsidR="00076F26">
        <w:t>Talk About It, You</w:t>
      </w:r>
      <w:r w:rsidR="00201BCD">
        <w:t xml:space="preserve"> Are</w:t>
      </w:r>
      <w:r w:rsidR="00076F26">
        <w:t xml:space="preserve"> Still Saying Something. </w:t>
      </w:r>
    </w:p>
    <w:p w14:paraId="6C7536DA" w14:textId="77777777" w:rsidR="00076F26" w:rsidRPr="00F14B5F" w:rsidRDefault="00076F26" w:rsidP="00E349B9">
      <w:pPr>
        <w:pStyle w:val="ThirdHeader"/>
        <w:spacing w:before="220" w:after="220"/>
        <w:rPr>
          <w:b w:val="0"/>
          <w:color w:val="auto"/>
        </w:rPr>
      </w:pPr>
      <w:r w:rsidRPr="00F14B5F">
        <w:rPr>
          <w:b w:val="0"/>
          <w:color w:val="auto"/>
        </w:rPr>
        <w:t>What you say to your child</w:t>
      </w:r>
      <w:r w:rsidR="002155A3">
        <w:rPr>
          <w:b w:val="0"/>
          <w:color w:val="auto"/>
        </w:rPr>
        <w:t>ren</w:t>
      </w:r>
      <w:r w:rsidRPr="00F14B5F">
        <w:rPr>
          <w:b w:val="0"/>
          <w:color w:val="auto"/>
        </w:rPr>
        <w:t xml:space="preserve"> about alcohol is up to you.</w:t>
      </w:r>
      <w:r w:rsidR="002D79E4">
        <w:rPr>
          <w:b w:val="0"/>
          <w:color w:val="auto"/>
        </w:rPr>
        <w:t xml:space="preserve"> </w:t>
      </w:r>
      <w:r w:rsidRPr="00F14B5F">
        <w:rPr>
          <w:b w:val="0"/>
          <w:color w:val="auto"/>
        </w:rPr>
        <w:t xml:space="preserve"> But remember, parents who do not discourage underage drinking may have an indirect influence on their children’s alcohol use.</w:t>
      </w:r>
      <w:r w:rsidR="003C76F2">
        <w:rPr>
          <w:b w:val="0"/>
          <w:color w:val="auto"/>
          <w:vertAlign w:val="superscript"/>
        </w:rPr>
        <w:t>7</w:t>
      </w:r>
    </w:p>
    <w:p w14:paraId="67C63B3C" w14:textId="77777777" w:rsidR="00742484" w:rsidRDefault="00E349B9" w:rsidP="00F14B5F">
      <w:pPr>
        <w:pStyle w:val="ThirdHeader"/>
        <w:spacing w:before="220" w:after="220"/>
      </w:pPr>
      <w:r>
        <w:lastRenderedPageBreak/>
        <w:br/>
      </w:r>
      <w:r w:rsidR="00076F26">
        <w:t>Re</w:t>
      </w:r>
      <w:r w:rsidR="00742484" w:rsidRPr="00E54D36">
        <w:t>ferences</w:t>
      </w:r>
    </w:p>
    <w:p w14:paraId="3ADB5852" w14:textId="77777777" w:rsidR="00076F26" w:rsidRPr="00076F26" w:rsidRDefault="00076F26" w:rsidP="00076F26">
      <w:pPr>
        <w:rPr>
          <w:sz w:val="16"/>
          <w:szCs w:val="16"/>
        </w:rPr>
      </w:pPr>
      <w:r w:rsidRPr="00076F26">
        <w:rPr>
          <w:sz w:val="16"/>
          <w:szCs w:val="16"/>
        </w:rPr>
        <w:t>1</w:t>
      </w:r>
      <w:r w:rsidR="003C76F2">
        <w:rPr>
          <w:sz w:val="16"/>
          <w:szCs w:val="16"/>
        </w:rPr>
        <w:t>, 6</w:t>
      </w:r>
      <w:r w:rsidRPr="00076F26">
        <w:rPr>
          <w:sz w:val="16"/>
          <w:szCs w:val="16"/>
        </w:rPr>
        <w:t xml:space="preserve">   </w:t>
      </w:r>
      <w:r w:rsidR="002155A3" w:rsidRPr="00F82426">
        <w:rPr>
          <w:rFonts w:eastAsia="Times New Roman"/>
          <w:sz w:val="16"/>
          <w:szCs w:val="16"/>
        </w:rPr>
        <w:t xml:space="preserve">U.S. Department of Health and Human Services.  </w:t>
      </w:r>
      <w:r w:rsidR="002155A3" w:rsidRPr="00F82426">
        <w:rPr>
          <w:rFonts w:eastAsia="Times New Roman"/>
          <w:i/>
          <w:sz w:val="16"/>
          <w:szCs w:val="16"/>
        </w:rPr>
        <w:t>The Surgeon General’s Call to Action to Prevent and Reduce Underage Drinking: A Guide to Action for Educators</w:t>
      </w:r>
      <w:r w:rsidR="002155A3" w:rsidRPr="00F82426">
        <w:rPr>
          <w:rFonts w:eastAsia="Times New Roman"/>
          <w:sz w:val="16"/>
          <w:szCs w:val="16"/>
        </w:rPr>
        <w:t>.  U.S. Department of Health and Human Services, Office of the Surgeon General, 2007.</w:t>
      </w:r>
    </w:p>
    <w:p w14:paraId="0BD80E5F" w14:textId="77777777" w:rsidR="00076F26" w:rsidRPr="00076F26" w:rsidRDefault="00076F26" w:rsidP="00076F26">
      <w:pPr>
        <w:rPr>
          <w:sz w:val="16"/>
          <w:szCs w:val="16"/>
        </w:rPr>
      </w:pPr>
      <w:r w:rsidRPr="00076F26">
        <w:rPr>
          <w:sz w:val="16"/>
          <w:szCs w:val="16"/>
        </w:rPr>
        <w:t>2</w:t>
      </w:r>
      <w:r w:rsidR="003C76F2">
        <w:rPr>
          <w:sz w:val="16"/>
          <w:szCs w:val="16"/>
        </w:rPr>
        <w:t>, 5</w:t>
      </w:r>
      <w:r w:rsidRPr="00076F26">
        <w:rPr>
          <w:sz w:val="16"/>
          <w:szCs w:val="16"/>
        </w:rPr>
        <w:t xml:space="preserve">    </w:t>
      </w:r>
      <w:r w:rsidR="002155A3" w:rsidRPr="00F82426">
        <w:rPr>
          <w:rFonts w:eastAsia="Times New Roman"/>
          <w:sz w:val="16"/>
          <w:szCs w:val="16"/>
        </w:rPr>
        <w:t xml:space="preserve">Nash, S.G., McQueen, A., and Bray, J.H.  (2005).  Pathways to adolescent alcohol use: Family environment, peer influence, and parental expectations.  </w:t>
      </w:r>
      <w:r w:rsidR="002155A3" w:rsidRPr="00F82426">
        <w:rPr>
          <w:rFonts w:eastAsia="Times New Roman"/>
          <w:i/>
          <w:sz w:val="16"/>
          <w:szCs w:val="16"/>
        </w:rPr>
        <w:t>Journal of Adolescent Health</w:t>
      </w:r>
      <w:r w:rsidR="002155A3" w:rsidRPr="00F82426">
        <w:rPr>
          <w:rFonts w:eastAsia="Times New Roman"/>
          <w:sz w:val="16"/>
          <w:szCs w:val="16"/>
        </w:rPr>
        <w:t xml:space="preserve">, </w:t>
      </w:r>
      <w:r w:rsidR="002155A3" w:rsidRPr="00F82426">
        <w:rPr>
          <w:rFonts w:eastAsia="Times New Roman"/>
          <w:i/>
          <w:sz w:val="16"/>
          <w:szCs w:val="16"/>
        </w:rPr>
        <w:t>37</w:t>
      </w:r>
      <w:r w:rsidR="002155A3" w:rsidRPr="00F82426">
        <w:rPr>
          <w:rFonts w:eastAsia="Times New Roman"/>
          <w:sz w:val="16"/>
          <w:szCs w:val="16"/>
        </w:rPr>
        <w:t>(1), 19–28.</w:t>
      </w:r>
    </w:p>
    <w:p w14:paraId="7AABF80C" w14:textId="77777777" w:rsidR="00076F26" w:rsidRPr="00076F26" w:rsidRDefault="00076F26" w:rsidP="00076F26">
      <w:pPr>
        <w:rPr>
          <w:sz w:val="16"/>
          <w:szCs w:val="16"/>
        </w:rPr>
      </w:pPr>
      <w:r w:rsidRPr="00076F26">
        <w:rPr>
          <w:sz w:val="16"/>
          <w:szCs w:val="16"/>
        </w:rPr>
        <w:t xml:space="preserve">3    </w:t>
      </w:r>
      <w:r w:rsidR="002155A3" w:rsidRPr="00F82426">
        <w:rPr>
          <w:rFonts w:eastAsia="Times New Roman"/>
          <w:sz w:val="16"/>
          <w:szCs w:val="16"/>
        </w:rPr>
        <w:t xml:space="preserve">Barnes, G.M., </w:t>
      </w:r>
      <w:proofErr w:type="spellStart"/>
      <w:r w:rsidR="002155A3" w:rsidRPr="00F82426">
        <w:rPr>
          <w:rFonts w:eastAsia="Times New Roman"/>
          <w:sz w:val="16"/>
          <w:szCs w:val="16"/>
        </w:rPr>
        <w:t>Reifman</w:t>
      </w:r>
      <w:proofErr w:type="spellEnd"/>
      <w:r w:rsidR="002155A3" w:rsidRPr="00F82426">
        <w:rPr>
          <w:rFonts w:eastAsia="Times New Roman"/>
          <w:sz w:val="16"/>
          <w:szCs w:val="16"/>
        </w:rPr>
        <w:t xml:space="preserve">, A.S., Farrell, M.P., and </w:t>
      </w:r>
      <w:proofErr w:type="spellStart"/>
      <w:r w:rsidR="002155A3" w:rsidRPr="00F82426">
        <w:rPr>
          <w:rFonts w:eastAsia="Times New Roman"/>
          <w:sz w:val="16"/>
          <w:szCs w:val="16"/>
        </w:rPr>
        <w:t>Dintcheff</w:t>
      </w:r>
      <w:proofErr w:type="spellEnd"/>
      <w:r w:rsidR="002155A3" w:rsidRPr="00F82426">
        <w:rPr>
          <w:rFonts w:eastAsia="Times New Roman"/>
          <w:sz w:val="16"/>
          <w:szCs w:val="16"/>
        </w:rPr>
        <w:t xml:space="preserve">, B.A.  (2000).  The effects of parenting on the development of adolescent alcohol misuse: A six-wave latent growth model.  </w:t>
      </w:r>
      <w:r w:rsidR="002155A3" w:rsidRPr="00F82426">
        <w:rPr>
          <w:rFonts w:eastAsia="Times New Roman"/>
          <w:i/>
          <w:sz w:val="16"/>
          <w:szCs w:val="16"/>
        </w:rPr>
        <w:t>Journal of Marriage and Family</w:t>
      </w:r>
      <w:r w:rsidR="002155A3" w:rsidRPr="00F82426">
        <w:rPr>
          <w:rFonts w:eastAsia="Times New Roman"/>
          <w:sz w:val="16"/>
          <w:szCs w:val="16"/>
        </w:rPr>
        <w:t xml:space="preserve">, </w:t>
      </w:r>
      <w:r w:rsidR="002155A3" w:rsidRPr="00F82426">
        <w:rPr>
          <w:rFonts w:eastAsia="Times New Roman"/>
          <w:i/>
          <w:sz w:val="16"/>
          <w:szCs w:val="16"/>
        </w:rPr>
        <w:t>62</w:t>
      </w:r>
      <w:r w:rsidR="002155A3" w:rsidRPr="00F82426">
        <w:rPr>
          <w:rFonts w:eastAsia="Times New Roman"/>
          <w:sz w:val="16"/>
          <w:szCs w:val="16"/>
        </w:rPr>
        <w:t>(1), 175–186.</w:t>
      </w:r>
    </w:p>
    <w:p w14:paraId="3257E4A3" w14:textId="77777777" w:rsidR="003C76F2" w:rsidRPr="003C76F2" w:rsidRDefault="003C76F2" w:rsidP="003C76F2">
      <w:pPr>
        <w:rPr>
          <w:sz w:val="16"/>
          <w:szCs w:val="16"/>
        </w:rPr>
      </w:pPr>
      <w:r w:rsidRPr="003C76F2">
        <w:rPr>
          <w:sz w:val="16"/>
          <w:szCs w:val="16"/>
        </w:rPr>
        <w:t xml:space="preserve">4    Jackson, C.  (2002).  Perceived legitimacy of parental authority and tobacco and alcohol use during early adolescence. </w:t>
      </w:r>
      <w:r w:rsidRPr="003C76F2">
        <w:rPr>
          <w:i/>
          <w:iCs/>
          <w:sz w:val="16"/>
          <w:szCs w:val="16"/>
        </w:rPr>
        <w:t xml:space="preserve">Journal of Adolescent Health </w:t>
      </w:r>
      <w:r w:rsidRPr="003C76F2">
        <w:rPr>
          <w:sz w:val="16"/>
          <w:szCs w:val="16"/>
        </w:rPr>
        <w:t>31(5), 425–432.</w:t>
      </w:r>
    </w:p>
    <w:p w14:paraId="70EB19DA" w14:textId="77777777" w:rsidR="00076F26" w:rsidRPr="00076F26" w:rsidRDefault="003C76F2" w:rsidP="00076F26">
      <w:pPr>
        <w:rPr>
          <w:sz w:val="16"/>
          <w:szCs w:val="16"/>
        </w:rPr>
      </w:pPr>
      <w:r>
        <w:rPr>
          <w:sz w:val="16"/>
          <w:szCs w:val="16"/>
        </w:rPr>
        <w:t>7</w:t>
      </w:r>
      <w:r w:rsidR="00076F26" w:rsidRPr="00076F26">
        <w:rPr>
          <w:sz w:val="16"/>
          <w:szCs w:val="16"/>
        </w:rPr>
        <w:t xml:space="preserve">    </w:t>
      </w:r>
      <w:r w:rsidR="002155A3" w:rsidRPr="00F82426">
        <w:rPr>
          <w:rFonts w:eastAsia="Times New Roman"/>
          <w:sz w:val="16"/>
          <w:szCs w:val="16"/>
        </w:rPr>
        <w:t xml:space="preserve">Sieving, R.E., Maruyama, G., Williams, C.L., and Perry, C.L.  (2000).  Pathways to adolescent alcohol use: Potential mechanisms of parent influence.  </w:t>
      </w:r>
      <w:r w:rsidR="002155A3" w:rsidRPr="00F82426">
        <w:rPr>
          <w:rFonts w:eastAsia="Times New Roman"/>
          <w:i/>
          <w:sz w:val="16"/>
          <w:szCs w:val="16"/>
        </w:rPr>
        <w:t>Journal of Research on Adolescence</w:t>
      </w:r>
      <w:r w:rsidR="002155A3" w:rsidRPr="00F82426">
        <w:rPr>
          <w:rFonts w:eastAsia="Times New Roman"/>
          <w:sz w:val="16"/>
          <w:szCs w:val="16"/>
        </w:rPr>
        <w:t xml:space="preserve">, </w:t>
      </w:r>
      <w:r w:rsidR="002155A3" w:rsidRPr="00F82426">
        <w:rPr>
          <w:rFonts w:eastAsia="Times New Roman"/>
          <w:i/>
          <w:sz w:val="16"/>
          <w:szCs w:val="16"/>
        </w:rPr>
        <w:t>10</w:t>
      </w:r>
      <w:r w:rsidR="002155A3" w:rsidRPr="00F82426">
        <w:rPr>
          <w:rFonts w:eastAsia="Times New Roman"/>
          <w:sz w:val="16"/>
          <w:szCs w:val="16"/>
        </w:rPr>
        <w:t>(4), 489–514.</w:t>
      </w:r>
    </w:p>
    <w:p w14:paraId="064BBBD5" w14:textId="77777777" w:rsidR="00E349B9" w:rsidRPr="00E349B9" w:rsidRDefault="00E349B9" w:rsidP="00076F26">
      <w:pPr>
        <w:rPr>
          <w:sz w:val="16"/>
          <w:szCs w:val="16"/>
        </w:rPr>
      </w:pPr>
    </w:p>
    <w:sectPr w:rsidR="00E349B9" w:rsidRPr="00E349B9" w:rsidSect="000D2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4" w:right="1800" w:bottom="1440" w:left="180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CA71" w14:textId="77777777" w:rsidR="002607F3" w:rsidRDefault="002607F3" w:rsidP="00EA7202">
      <w:pPr>
        <w:spacing w:before="0" w:after="0"/>
      </w:pPr>
      <w:r>
        <w:separator/>
      </w:r>
    </w:p>
  </w:endnote>
  <w:endnote w:type="continuationSeparator" w:id="0">
    <w:p w14:paraId="7F2D3F81" w14:textId="77777777" w:rsidR="002607F3" w:rsidRDefault="002607F3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958A" w14:textId="77777777" w:rsidR="002C251B" w:rsidRDefault="002C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34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86546" w14:textId="77777777" w:rsidR="00DF53D9" w:rsidRDefault="00DF53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1F037" w14:textId="77777777" w:rsidR="00DF53D9" w:rsidRDefault="00DF53D9" w:rsidP="000F0A46">
    <w:pPr>
      <w:pStyle w:val="TopLogo"/>
      <w:tabs>
        <w:tab w:val="left" w:pos="536"/>
        <w:tab w:val="right" w:pos="9274"/>
      </w:tabs>
      <w:jc w:val="left"/>
    </w:pPr>
  </w:p>
  <w:p w14:paraId="6F395A40" w14:textId="77777777" w:rsidR="00DF53D9" w:rsidRDefault="00DF53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E02" w14:textId="77777777" w:rsidR="00DF53D9" w:rsidRDefault="00DF53D9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2782" w14:textId="77777777" w:rsidR="002607F3" w:rsidRDefault="002607F3" w:rsidP="00EA7202">
      <w:pPr>
        <w:spacing w:before="0" w:after="0"/>
      </w:pPr>
      <w:r>
        <w:separator/>
      </w:r>
    </w:p>
  </w:footnote>
  <w:footnote w:type="continuationSeparator" w:id="0">
    <w:p w14:paraId="012CEF7F" w14:textId="77777777" w:rsidR="002607F3" w:rsidRDefault="002607F3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C2EC" w14:textId="77777777" w:rsidR="002C251B" w:rsidRDefault="002C2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877F" w14:textId="77777777" w:rsidR="00DF53D9" w:rsidRDefault="00DF53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80DC8" wp14:editId="4B155ED6">
              <wp:simplePos x="0" y="0"/>
              <wp:positionH relativeFrom="column">
                <wp:posOffset>-114300</wp:posOffset>
              </wp:positionH>
              <wp:positionV relativeFrom="paragraph">
                <wp:posOffset>628650</wp:posOffset>
              </wp:positionV>
              <wp:extent cx="6515100" cy="228600"/>
              <wp:effectExtent l="0" t="0" r="12700" b="0"/>
              <wp:wrapSquare wrapText="bothSides"/>
              <wp:docPr id="7" name="Text Box 7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AA7C9" w14:textId="77777777" w:rsidR="00DF53D9" w:rsidRPr="00847B06" w:rsidRDefault="00DF53D9" w:rsidP="00095788">
                          <w:pPr>
                            <w:pStyle w:val="Second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0D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figure" style="position:absolute;left:0;text-align:left;margin-left:-9pt;margin-top:49.5pt;width:51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vdbgIAAGAFAAAOAAAAZHJzL2Uyb0RvYy54bWysVEtvGjEQvlfqf7B8bxZQQxFiiWiiVJVQ&#10;EoVUORuvHax6Pa49sEt/fcfeBZI0l1S97M543t88ZhdtbdlOhWjAlXx4NuBMOQmVcU8l//Fw/WnC&#10;WUThKmHBqZLvVeQX848fZo2fqhFswFYqMHLi4rTxJd8g+mlRRLlRtYhn4JUjoYZQCyQ2PBVVEA15&#10;r20xGgzGRQOh8gGkipFerzohn2f/WiuJt1pHhcyWnHLD/A35u07fYj4T06cg/MbIPg3xD1nUwjgK&#10;enR1JVCwbTB/uaqNDBBB45mEugCtjVS5BqpmOHhVzWojvMq1EDjRH2GK/8+tvNmt/F1g2H6FlhqY&#10;AGl8nEZ6TPW0OtTpT5kykhOE+yNsqkUm6XF8PjwfDkgkSTYaTcZEk5viZO1DxG8KapaIkgdqS0ZL&#10;7JYRO9WDSgoWwZrq2libmTQK6tIGthPURGxzjuT8hZZ1SddBsuocdi8qz0Af5VRYpnBvVbKy7l5p&#10;Zqpc3xshhZTK4SFs1k5amkK9x7DXT6ZdVu8xPlrkyODwaFwbByGjmZfmhFT185Cy7vSpJc/qTiS2&#10;67Zv+BqqPc1BgG5FopfXhpq1FBHvRKCdoP7SnuMtfbSFpuTQU5xtIPx+6z3p06iSlLOGdqzk8ddW&#10;BMWZ/e5oiIeT0WSStjJzn8+/jIgJL0Tr5yK3rS+BZmBIN8XLTCYDtAdSB6gf6SAsUlwSCScpeskl&#10;hgNzid3200mRarHIarSKXuDSrbxMzhPEaRwf2kcRfD+zSNN+A4eNFNNXo9vpJksHiy2CNnmuE8gd&#10;sj34tMZ5M/qTk+7Ecz5rnQ7j/A8AAAD//wMAUEsDBBQABgAIAAAAIQAMfjsj4QAAAAsBAAAPAAAA&#10;ZHJzL2Rvd25yZXYueG1sTI/NTsMwEITvSLyDtUhcqtYupVUT4lRQiQPcUqoibm68JBGxHWw3DX16&#10;Nic47d9o9ptsM5iW9ehD46yE+UwAQ1s63dhKwv7teboGFqKyWrXOooQfDLDJr68ylWp3tgX2u1gx&#10;MrEhVRLqGLuU81DWaFSYuQ4t3T6dNyrS6CuuvTqTuWn5nRArblRj6UOtOtzWWH7tTkZC0X9MFsXL&#10;0/dlMtwvL+/b14NPVlLe3gyPD8AiDvFPDCM+oUNOTEd3sjqwVsJ0vqYsUUKSUB0FQoybI3WLpQCe&#10;Z/x/hvwXAAD//wMAUEsBAi0AFAAGAAgAAAAhALaDOJL+AAAA4QEAABMAAAAAAAAAAAAAAAAAAAAA&#10;AFtDb250ZW50X1R5cGVzXS54bWxQSwECLQAUAAYACAAAACEAOP0h/9YAAACUAQAACwAAAAAAAAAA&#10;AAAAAAAvAQAAX3JlbHMvLnJlbHNQSwECLQAUAAYACAAAACEA9iY73W4CAABgBQAADgAAAAAAAAAA&#10;AAAAAAAuAgAAZHJzL2Uyb0RvYy54bWxQSwECLQAUAAYACAAAACEADH47I+EAAAALAQAADwAAAAAA&#10;AAAAAAAAAADIBAAAZHJzL2Rvd25yZXYueG1sUEsFBgAAAAAEAAQA8wAAANYFAAAAAA==&#10;" fillcolor="black [3213]" stroked="f">
              <v:textbox inset="14.4pt,,14.4pt">
                <w:txbxContent>
                  <w:p w14:paraId="7C2AA7C9" w14:textId="77777777" w:rsidR="00DF53D9" w:rsidRPr="00847B06" w:rsidRDefault="00DF53D9" w:rsidP="00095788">
                    <w:pPr>
                      <w:pStyle w:val="SecondHead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3C0F393" w14:textId="77777777" w:rsidR="00DF53D9" w:rsidRDefault="008536F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E425E4" wp14:editId="048E4FC2">
              <wp:simplePos x="0" y="0"/>
              <wp:positionH relativeFrom="column">
                <wp:posOffset>-793750</wp:posOffset>
              </wp:positionH>
              <wp:positionV relativeFrom="paragraph">
                <wp:posOffset>221615</wp:posOffset>
              </wp:positionV>
              <wp:extent cx="6972300" cy="233045"/>
              <wp:effectExtent l="0" t="0" r="0" b="0"/>
              <wp:wrapSquare wrapText="bothSides"/>
              <wp:docPr id="6" name="Text Box 6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3045"/>
                      </a:xfrm>
                      <a:prstGeom prst="rect">
                        <a:avLst/>
                      </a:prstGeom>
                      <a:solidFill>
                        <a:srgbClr val="83171A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2B735" w14:textId="77777777" w:rsidR="008536FE" w:rsidRPr="00847B06" w:rsidRDefault="008536FE" w:rsidP="008536FE">
                          <w:pPr>
                            <w:pStyle w:val="Ma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425E4" id="Text Box 6" o:spid="_x0000_s1029" type="#_x0000_t202" alt="figure" style="position:absolute;left:0;text-align:left;margin-left:-62.5pt;margin-top:17.45pt;width:549pt;height:1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speQIAAGgFAAAOAAAAZHJzL2Uyb0RvYy54bWysVMlu2zAQvRfoPxC8N/KSxTUiB26CFAWC&#10;JmhS5ExTpE2U4rBD2pL79R1S8pK0lxS9SDOcN/tyedXWlm0UBgOu5MOTAWfKSaiMW5b8+9Pthwln&#10;IQpXCQtOlXyrAr+avX932fipGsEKbKWQkREXpo0v+SpGPy2KIFeqFuEEvHIk1IC1iMTisqhQNGS9&#10;tsVoMDgvGsDKI0gVAr3edEI+y/a1VjLeax1UZLbkFFvMX8zfRfoWs0sxXaLwKyP7MMQ/RFEL48jp&#10;3tSNiIKt0fxhqjYSIYCOJxLqArQ2UuUcKJvh4FU2jyvhVc6FihP8vkzh/5mVXzeP/gFZbD9BSw1M&#10;BWl8mAZ6TPm0Guv0p0gZyamE233ZVBuZpMfzjxej8YBEkmSj8XhwepbMFAdtjyF+VlCzRJQcqS25&#10;WmJzF2IH3UGSswDWVLfG2szgcnFtkW0EtXAyHl4M5731FzDrEthBUussdi8qD0Hv5pBZpuLWqqRl&#10;3TelmalygtlnGj+19yqkVC7m2lBSGZ1Qmly9RbHHJ9Uuqrco7zWyZ3Bxr1wbB5jLmbfmEHb1Yxey&#10;7vDUk6O8ExnbRUuJHzV+AdWW5gGhW5Xg5a2hpt2JEB8E0m5Qn2nf4z19tIWm5NBTnK0Af/3tPeFp&#10;ZEnKWUO7VvLwcy1QcWa/OBrm4WQ0maTtzNzp2cWIGHwhWhyL3Lq+BpqGId0WLzOZFKLdkRqhfqbD&#10;ME9+SSScJO8llxF3zHXsrgCdFqnm8wyjlfQi3rlHL5PxVOk0lk/ts0Dfz26kqf8Ku80U01cj3GGT&#10;poP5OoI2eb5TrbvK9j2gdc4b0p+edC+O+Yw6HMjZbwAAAP//AwBQSwMEFAAGAAgAAAAhACnwNi3h&#10;AAAACgEAAA8AAABkcnMvZG93bnJldi54bWxMj0tPwzAQhO9I/AdrK3FBrfMoLU3jVIAEnClRJW5O&#10;snmo8TqK3TT8e5YTHGdnNPtNephNLyYcXWdJQbgKQCCVtuqoUZB/vi4fQTivqdK9JVTwjQ4O2e1N&#10;qpPKXukDp6NvBJeQS7SC1vshkdKVLRrtVnZAYq+2o9Ge5djIatRXLje9jIJgI43uiD+0esCXFsvz&#10;8WIUrOvhvvhy+dS958/lKa6jkz+/KXW3mJ/2IDzO/i8Mv/iMDhkzFfZClRO9gmUYPfAYryBe70Bw&#10;YreN+VAo2IYbkFkq/0/IfgAAAP//AwBQSwECLQAUAAYACAAAACEAtoM4kv4AAADhAQAAEwAAAAAA&#10;AAAAAAAAAAAAAAAAW0NvbnRlbnRfVHlwZXNdLnhtbFBLAQItABQABgAIAAAAIQA4/SH/1gAAAJQB&#10;AAALAAAAAAAAAAAAAAAAAC8BAABfcmVscy8ucmVsc1BLAQItABQABgAIAAAAIQCGqBspeQIAAGgF&#10;AAAOAAAAAAAAAAAAAAAAAC4CAABkcnMvZTJvRG9jLnhtbFBLAQItABQABgAIAAAAIQAp8DYt4QAA&#10;AAoBAAAPAAAAAAAAAAAAAAAAANMEAABkcnMvZG93bnJldi54bWxQSwUGAAAAAAQABADzAAAA4QUA&#10;AAAA&#10;" fillcolor="#83171a" stroked="f">
              <v:textbox inset="14.4pt,,14.4pt">
                <w:txbxContent>
                  <w:p w14:paraId="74C2B735" w14:textId="77777777" w:rsidR="008536FE" w:rsidRPr="00847B06" w:rsidRDefault="008536FE" w:rsidP="008536FE">
                    <w:pPr>
                      <w:pStyle w:val="Main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9BCF" w14:textId="77777777" w:rsidR="002C251B" w:rsidRDefault="002C2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56"/>
    <w:multiLevelType w:val="hybridMultilevel"/>
    <w:tmpl w:val="732A8E96"/>
    <w:lvl w:ilvl="0" w:tplc="B006640E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 w15:restartNumberingAfterBreak="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63D82C57"/>
    <w:multiLevelType w:val="hybridMultilevel"/>
    <w:tmpl w:val="42B6CAE4"/>
    <w:lvl w:ilvl="0" w:tplc="3A72775E">
      <w:start w:val="1"/>
      <w:numFmt w:val="bullet"/>
      <w:pStyle w:val="Bullet2"/>
      <w:lvlText w:val="–"/>
      <w:lvlJc w:val="left"/>
      <w:pPr>
        <w:ind w:left="648" w:hanging="360"/>
      </w:pPr>
      <w:rPr>
        <w:rFonts w:ascii="Arial Narrow" w:hAnsi="Arial Narrow" w:hint="default"/>
        <w:color w:val="722226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 w15:restartNumberingAfterBreak="0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06"/>
    <w:rsid w:val="00055C29"/>
    <w:rsid w:val="00076F26"/>
    <w:rsid w:val="00095788"/>
    <w:rsid w:val="000D2269"/>
    <w:rsid w:val="000F0A46"/>
    <w:rsid w:val="0010344A"/>
    <w:rsid w:val="001035A1"/>
    <w:rsid w:val="00120E1D"/>
    <w:rsid w:val="00156DB5"/>
    <w:rsid w:val="00160A96"/>
    <w:rsid w:val="00170FE6"/>
    <w:rsid w:val="001F06DF"/>
    <w:rsid w:val="00201BCD"/>
    <w:rsid w:val="002155A3"/>
    <w:rsid w:val="0024150D"/>
    <w:rsid w:val="00246EEE"/>
    <w:rsid w:val="002607F3"/>
    <w:rsid w:val="002C251B"/>
    <w:rsid w:val="002D79E4"/>
    <w:rsid w:val="003859BF"/>
    <w:rsid w:val="00392116"/>
    <w:rsid w:val="003A1BE0"/>
    <w:rsid w:val="003C76F2"/>
    <w:rsid w:val="004516D5"/>
    <w:rsid w:val="004568C4"/>
    <w:rsid w:val="005548B4"/>
    <w:rsid w:val="00621E65"/>
    <w:rsid w:val="00630948"/>
    <w:rsid w:val="006842EA"/>
    <w:rsid w:val="006A5B24"/>
    <w:rsid w:val="006B3129"/>
    <w:rsid w:val="006E6627"/>
    <w:rsid w:val="006E7791"/>
    <w:rsid w:val="00742484"/>
    <w:rsid w:val="00745EEF"/>
    <w:rsid w:val="00777F30"/>
    <w:rsid w:val="00782E75"/>
    <w:rsid w:val="007A3A4A"/>
    <w:rsid w:val="007A6889"/>
    <w:rsid w:val="007A7F72"/>
    <w:rsid w:val="00847B06"/>
    <w:rsid w:val="008536FE"/>
    <w:rsid w:val="00860FCC"/>
    <w:rsid w:val="0087629D"/>
    <w:rsid w:val="008778D7"/>
    <w:rsid w:val="008825EE"/>
    <w:rsid w:val="008D64DB"/>
    <w:rsid w:val="0094034F"/>
    <w:rsid w:val="00965758"/>
    <w:rsid w:val="009C2FC2"/>
    <w:rsid w:val="009E095C"/>
    <w:rsid w:val="00A07A38"/>
    <w:rsid w:val="00A91CA0"/>
    <w:rsid w:val="00AA40E3"/>
    <w:rsid w:val="00AC694A"/>
    <w:rsid w:val="00AE7609"/>
    <w:rsid w:val="00C856AD"/>
    <w:rsid w:val="00CD2873"/>
    <w:rsid w:val="00D0612A"/>
    <w:rsid w:val="00D55F4C"/>
    <w:rsid w:val="00DE50F7"/>
    <w:rsid w:val="00DF53D9"/>
    <w:rsid w:val="00E244E5"/>
    <w:rsid w:val="00E349B9"/>
    <w:rsid w:val="00E420B3"/>
    <w:rsid w:val="00E54D36"/>
    <w:rsid w:val="00E62650"/>
    <w:rsid w:val="00EA7202"/>
    <w:rsid w:val="00F115C1"/>
    <w:rsid w:val="00F14B5F"/>
    <w:rsid w:val="00F95BB6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5D358F"/>
  <w14:defaultImageDpi w14:val="300"/>
  <w15:docId w15:val="{ED5C8CF9-0EA9-4380-BBE9-CEEC672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095788"/>
    <w:pPr>
      <w:pBdr>
        <w:bottom w:val="single" w:sz="4" w:space="0" w:color="auto"/>
      </w:pBdr>
    </w:pPr>
    <w:rPr>
      <w:b/>
      <w:bCs/>
      <w:sz w:val="22"/>
      <w:szCs w:val="22"/>
    </w:rPr>
  </w:style>
  <w:style w:type="paragraph" w:customStyle="1" w:styleId="ThirdHeader">
    <w:name w:val="Third Header"/>
    <w:next w:val="Normal"/>
    <w:autoRedefine/>
    <w:qFormat/>
    <w:rsid w:val="00745EEF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6A5B24"/>
    <w:pPr>
      <w:numPr>
        <w:numId w:val="17"/>
      </w:numPr>
      <w:spacing w:before="240" w:after="240"/>
    </w:pPr>
    <w:rPr>
      <w:color w:val="363435"/>
      <w:sz w:val="22"/>
      <w:szCs w:val="22"/>
    </w:r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76F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5A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B6199-6B87-41C7-B523-4A93BF1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Underage Drinking Prevention National Media Campaign</dc:title>
  <dc:creator>SAMHSA</dc:creator>
  <cp:lastModifiedBy>Jennifer Fallon</cp:lastModifiedBy>
  <cp:revision>3</cp:revision>
  <cp:lastPrinted>2013-02-01T14:40:00Z</cp:lastPrinted>
  <dcterms:created xsi:type="dcterms:W3CDTF">2022-01-18T21:23:00Z</dcterms:created>
  <dcterms:modified xsi:type="dcterms:W3CDTF">2022-01-18T21:24:00Z</dcterms:modified>
</cp:coreProperties>
</file>